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B7" w:rsidRPr="00153A48" w:rsidRDefault="000220B7" w:rsidP="005C1E68">
      <w:pPr>
        <w:widowControl/>
        <w:jc w:val="center"/>
        <w:rPr>
          <w:b/>
        </w:rPr>
      </w:pPr>
      <w:r w:rsidRPr="00153A48">
        <w:rPr>
          <w:rFonts w:hint="eastAsia"/>
          <w:b/>
        </w:rPr>
        <w:t>The 23rd Pacific Science Congress</w:t>
      </w:r>
    </w:p>
    <w:p w:rsidR="000220B7" w:rsidRPr="00153A48" w:rsidRDefault="000220B7" w:rsidP="005C1E68">
      <w:pPr>
        <w:widowControl/>
        <w:jc w:val="center"/>
        <w:rPr>
          <w:b/>
        </w:rPr>
      </w:pPr>
      <w:r w:rsidRPr="00153A48">
        <w:rPr>
          <w:b/>
        </w:rPr>
        <w:t>Symposium Program</w:t>
      </w:r>
    </w:p>
    <w:p w:rsidR="00153A48" w:rsidRPr="00D10FE1" w:rsidRDefault="000220B7" w:rsidP="0017228E">
      <w:pPr>
        <w:pStyle w:val="NoSpacing1"/>
        <w:jc w:val="center"/>
        <w:rPr>
          <w:rFonts w:eastAsia="標楷體"/>
          <w:b/>
          <w:sz w:val="28"/>
          <w:szCs w:val="28"/>
        </w:rPr>
      </w:pPr>
      <w:r w:rsidRPr="00153A48">
        <w:rPr>
          <w:b/>
        </w:rPr>
        <w:t>201</w:t>
      </w:r>
      <w:r w:rsidRPr="00153A48">
        <w:rPr>
          <w:rFonts w:hint="eastAsia"/>
          <w:b/>
        </w:rPr>
        <w:t>6 June 1</w:t>
      </w:r>
      <w:r w:rsidR="002E4154">
        <w:rPr>
          <w:b/>
        </w:rPr>
        <w:t>3</w:t>
      </w:r>
      <w:r w:rsidRPr="00153A48">
        <w:rPr>
          <w:rFonts w:hint="eastAsia"/>
          <w:b/>
        </w:rPr>
        <w:t xml:space="preserve"> </w:t>
      </w:r>
      <w:r w:rsidRPr="00153A48">
        <w:rPr>
          <w:rFonts w:eastAsia="標楷體"/>
          <w:b/>
        </w:rPr>
        <w:t>(</w:t>
      </w:r>
      <w:r w:rsidR="002E4154">
        <w:rPr>
          <w:b/>
        </w:rPr>
        <w:t>Monday</w:t>
      </w:r>
      <w:r w:rsidRPr="00153A48">
        <w:rPr>
          <w:b/>
        </w:rPr>
        <w:t xml:space="preserve">) </w:t>
      </w:r>
      <w:r w:rsidR="00BA1267">
        <w:rPr>
          <w:b/>
        </w:rPr>
        <w:t>~</w:t>
      </w:r>
      <w:r w:rsidRPr="00153A48">
        <w:rPr>
          <w:b/>
        </w:rPr>
        <w:t xml:space="preserve"> </w:t>
      </w:r>
      <w:r w:rsidRPr="00153A48">
        <w:rPr>
          <w:rFonts w:eastAsia="標楷體" w:hint="eastAsia"/>
          <w:b/>
        </w:rPr>
        <w:t>17</w:t>
      </w:r>
      <w:r w:rsidRPr="00153A48">
        <w:rPr>
          <w:rFonts w:eastAsia="標楷體"/>
          <w:b/>
        </w:rPr>
        <w:t xml:space="preserve"> (</w:t>
      </w:r>
      <w:r w:rsidRPr="00153A48">
        <w:rPr>
          <w:rFonts w:eastAsia="標楷體" w:hint="eastAsia"/>
          <w:b/>
        </w:rPr>
        <w:t>Friday</w:t>
      </w:r>
      <w:r w:rsidRPr="00153A48">
        <w:rPr>
          <w:rFonts w:eastAsia="標楷體"/>
          <w:b/>
        </w:rPr>
        <w:t>)</w:t>
      </w:r>
      <w:r w:rsidR="00BA1267">
        <w:rPr>
          <w:rFonts w:eastAsia="標楷體"/>
          <w:b/>
        </w:rPr>
        <w:t>, Academia Sinica</w:t>
      </w:r>
      <w:bookmarkStart w:id="0" w:name="_GoBack"/>
      <w:bookmarkEnd w:id="0"/>
    </w:p>
    <w:p w:rsidR="002E4154" w:rsidRPr="00D10FE1" w:rsidRDefault="002E4154" w:rsidP="002E4154">
      <w:pPr>
        <w:spacing w:line="240" w:lineRule="atLeast"/>
        <w:rPr>
          <w:b/>
          <w:color w:val="0000FF"/>
          <w:lang w:val="fr-FR"/>
        </w:rPr>
      </w:pPr>
      <w:r>
        <w:rPr>
          <w:rFonts w:hint="eastAsia"/>
          <w:b/>
          <w:color w:val="0000FF"/>
          <w:lang w:val="fr-FR"/>
        </w:rPr>
        <w:t xml:space="preserve">Plenary </w:t>
      </w:r>
      <w:r w:rsidR="007B4581">
        <w:rPr>
          <w:b/>
          <w:color w:val="0000FF"/>
          <w:lang w:val="fr-FR"/>
        </w:rPr>
        <w:t>Lecture</w:t>
      </w:r>
      <w:r>
        <w:rPr>
          <w:b/>
          <w:color w:val="0000FF"/>
          <w:lang w:val="fr-FR"/>
        </w:rPr>
        <w:t>s</w:t>
      </w:r>
      <w:r>
        <w:rPr>
          <w:rFonts w:hint="eastAsia"/>
          <w:b/>
          <w:color w:val="0000FF"/>
          <w:lang w:val="fr-FR"/>
        </w:rPr>
        <w:t>:</w:t>
      </w:r>
      <w:r>
        <w:rPr>
          <w:b/>
          <w:color w:val="0000FF"/>
          <w:lang w:val="fr-FR"/>
        </w:rPr>
        <w:t xml:space="preserve"> 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124"/>
        <w:gridCol w:w="5854"/>
      </w:tblGrid>
      <w:tr w:rsidR="002E4154" w:rsidRPr="00153A48" w:rsidTr="00D35331">
        <w:tc>
          <w:tcPr>
            <w:tcW w:w="1562" w:type="dxa"/>
            <w:tcBorders>
              <w:top w:val="single" w:sz="12" w:space="0" w:color="auto"/>
            </w:tcBorders>
            <w:shd w:val="clear" w:color="auto" w:fill="D9D9D9"/>
          </w:tcPr>
          <w:p w:rsidR="002E4154" w:rsidRPr="00153A48" w:rsidRDefault="002E4154" w:rsidP="00F56246">
            <w:pPr>
              <w:snapToGrid w:val="0"/>
              <w:spacing w:beforeLines="5" w:before="18" w:afterLines="5" w:after="18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D9D9D9"/>
          </w:tcPr>
          <w:p w:rsidR="002E4154" w:rsidRPr="00153A48" w:rsidRDefault="002E4154" w:rsidP="00F56246">
            <w:pPr>
              <w:snapToGrid w:val="0"/>
              <w:spacing w:beforeLines="5" w:before="18" w:afterLines="5" w:after="18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Speaker </w:t>
            </w:r>
          </w:p>
        </w:tc>
        <w:tc>
          <w:tcPr>
            <w:tcW w:w="5854" w:type="dxa"/>
            <w:tcBorders>
              <w:top w:val="single" w:sz="12" w:space="0" w:color="auto"/>
            </w:tcBorders>
            <w:shd w:val="clear" w:color="auto" w:fill="D9D9D9"/>
          </w:tcPr>
          <w:p w:rsidR="002E4154" w:rsidRPr="00153A48" w:rsidRDefault="002E4154" w:rsidP="00F56246">
            <w:pPr>
              <w:snapToGrid w:val="0"/>
              <w:spacing w:beforeLines="5" w:before="18" w:afterLines="5" w:after="18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Title </w:t>
            </w:r>
          </w:p>
        </w:tc>
      </w:tr>
      <w:tr w:rsidR="00D35331" w:rsidRPr="00153A48" w:rsidTr="00362D50">
        <w:trPr>
          <w:trHeight w:val="303"/>
        </w:trPr>
        <w:tc>
          <w:tcPr>
            <w:tcW w:w="9540" w:type="dxa"/>
            <w:gridSpan w:val="3"/>
            <w:tcBorders>
              <w:top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color w:val="0000FF"/>
                <w:lang w:val="fr-FR"/>
              </w:rPr>
              <w:t xml:space="preserve">Day </w:t>
            </w:r>
            <w:r w:rsidRPr="00437498">
              <w:rPr>
                <w:rFonts w:hint="eastAsia"/>
                <w:color w:val="0000FF"/>
                <w:lang w:val="fr-FR"/>
              </w:rPr>
              <w:t>2</w:t>
            </w:r>
            <w:r w:rsidRPr="00437498">
              <w:rPr>
                <w:color w:val="0000FF"/>
                <w:lang w:val="fr-FR"/>
              </w:rPr>
              <w:t xml:space="preserve"> (</w:t>
            </w:r>
            <w:r w:rsidRPr="00437498">
              <w:rPr>
                <w:rFonts w:hint="eastAsia"/>
                <w:color w:val="0000FF"/>
                <w:lang w:val="fr-FR"/>
              </w:rPr>
              <w:t>Tue</w:t>
            </w:r>
            <w:r w:rsidR="007B4581">
              <w:rPr>
                <w:color w:val="0000FF"/>
                <w:lang w:val="fr-FR"/>
              </w:rPr>
              <w:t>sday</w:t>
            </w:r>
            <w:r w:rsidRPr="00437498">
              <w:rPr>
                <w:color w:val="0000FF"/>
                <w:lang w:val="fr-FR"/>
              </w:rPr>
              <w:t xml:space="preserve">, </w:t>
            </w:r>
            <w:r w:rsidRPr="00437498">
              <w:rPr>
                <w:rFonts w:hint="eastAsia"/>
                <w:color w:val="0000FF"/>
                <w:lang w:val="fr-FR"/>
              </w:rPr>
              <w:t>June 14</w:t>
            </w:r>
            <w:r w:rsidRPr="00437498">
              <w:rPr>
                <w:color w:val="0000FF"/>
                <w:lang w:val="fr-FR"/>
              </w:rPr>
              <w:t>)</w:t>
            </w:r>
          </w:p>
        </w:tc>
      </w:tr>
      <w:tr w:rsidR="00681F85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681F85" w:rsidRPr="00437498" w:rsidRDefault="00681F85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rFonts w:hint="eastAsia"/>
                <w:sz w:val="22"/>
                <w:szCs w:val="22"/>
              </w:rPr>
              <w:t>1</w:t>
            </w:r>
            <w:r w:rsidRPr="00437498">
              <w:rPr>
                <w:sz w:val="22"/>
                <w:szCs w:val="22"/>
              </w:rPr>
              <w:t>0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3</w:t>
            </w:r>
            <w:r w:rsidRPr="00437498">
              <w:rPr>
                <w:rFonts w:hint="eastAsia"/>
                <w:sz w:val="22"/>
                <w:szCs w:val="22"/>
              </w:rPr>
              <w:t>0~1</w:t>
            </w:r>
            <w:r w:rsidRPr="00437498">
              <w:rPr>
                <w:sz w:val="22"/>
                <w:szCs w:val="22"/>
              </w:rPr>
              <w:t>1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15</w:t>
            </w:r>
          </w:p>
        </w:tc>
        <w:tc>
          <w:tcPr>
            <w:tcW w:w="2124" w:type="dxa"/>
            <w:vAlign w:val="center"/>
          </w:tcPr>
          <w:p w:rsidR="00681F85" w:rsidRPr="00437498" w:rsidRDefault="00681F85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Yuan-Tseh Lee</w:t>
            </w:r>
          </w:p>
        </w:tc>
        <w:tc>
          <w:tcPr>
            <w:tcW w:w="5854" w:type="dxa"/>
            <w:vAlign w:val="center"/>
          </w:tcPr>
          <w:p w:rsidR="00681F85" w:rsidRPr="00437498" w:rsidRDefault="00681F85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Necessary Transformation for Our Sustainable Future</w:t>
            </w:r>
          </w:p>
        </w:tc>
      </w:tr>
      <w:tr w:rsidR="00681F85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85" w:rsidRPr="00437498" w:rsidRDefault="00681F85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rFonts w:hint="eastAsia"/>
                <w:sz w:val="22"/>
                <w:szCs w:val="22"/>
              </w:rPr>
              <w:t>11:</w:t>
            </w:r>
            <w:r w:rsidRPr="00437498">
              <w:rPr>
                <w:sz w:val="22"/>
                <w:szCs w:val="22"/>
              </w:rPr>
              <w:t>15</w:t>
            </w:r>
            <w:r w:rsidRPr="00437498">
              <w:rPr>
                <w:rFonts w:hint="eastAsia"/>
                <w:sz w:val="22"/>
                <w:szCs w:val="22"/>
              </w:rPr>
              <w:t>~12:00</w:t>
            </w:r>
          </w:p>
        </w:tc>
        <w:tc>
          <w:tcPr>
            <w:tcW w:w="2124" w:type="dxa"/>
            <w:vAlign w:val="center"/>
          </w:tcPr>
          <w:p w:rsidR="00681F85" w:rsidRPr="00437498" w:rsidRDefault="00681F85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Gordon McBean</w:t>
            </w:r>
          </w:p>
        </w:tc>
        <w:tc>
          <w:tcPr>
            <w:tcW w:w="5854" w:type="dxa"/>
            <w:vAlign w:val="center"/>
          </w:tcPr>
          <w:p w:rsidR="00681F85" w:rsidRPr="00437498" w:rsidRDefault="00681F85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Integrated Research for Reducing Disaster Impacts for a Sustainable Future Earth</w:t>
            </w:r>
          </w:p>
        </w:tc>
      </w:tr>
      <w:tr w:rsidR="00D35331" w:rsidRPr="00153A48" w:rsidTr="00565EA1">
        <w:trPr>
          <w:trHeight w:val="303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color w:val="0000FF"/>
                <w:lang w:val="fr-FR"/>
              </w:rPr>
              <w:t>Day 3 (Wed</w:t>
            </w:r>
            <w:r w:rsidR="007B4581">
              <w:rPr>
                <w:color w:val="0000FF"/>
                <w:lang w:val="fr-FR"/>
              </w:rPr>
              <w:t>nesday</w:t>
            </w:r>
            <w:r w:rsidRPr="00437498">
              <w:rPr>
                <w:color w:val="0000FF"/>
                <w:lang w:val="fr-FR"/>
              </w:rPr>
              <w:t xml:space="preserve">, </w:t>
            </w:r>
            <w:r w:rsidRPr="00437498">
              <w:rPr>
                <w:rFonts w:hint="eastAsia"/>
                <w:color w:val="0000FF"/>
                <w:lang w:val="fr-FR"/>
              </w:rPr>
              <w:t>June 1</w:t>
            </w:r>
            <w:r w:rsidRPr="00437498">
              <w:rPr>
                <w:color w:val="0000FF"/>
                <w:lang w:val="fr-FR"/>
              </w:rPr>
              <w:t>5)</w:t>
            </w:r>
          </w:p>
        </w:tc>
      </w:tr>
      <w:tr w:rsidR="00D35331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9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0</w:t>
            </w:r>
            <w:r w:rsidRPr="00437498">
              <w:rPr>
                <w:rFonts w:hint="eastAsia"/>
                <w:sz w:val="22"/>
                <w:szCs w:val="22"/>
              </w:rPr>
              <w:t>0~</w:t>
            </w:r>
            <w:r w:rsidRPr="00437498">
              <w:rPr>
                <w:sz w:val="22"/>
                <w:szCs w:val="22"/>
              </w:rPr>
              <w:t>9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rFonts w:hint="eastAsia"/>
                <w:sz w:val="22"/>
                <w:szCs w:val="22"/>
              </w:rPr>
              <w:t>Chi-Huey Wong</w:t>
            </w:r>
          </w:p>
        </w:tc>
        <w:tc>
          <w:tcPr>
            <w:tcW w:w="585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Understanding Glycosylation in Biology and Development of Carbohydrate-based Cancer Vaccine</w:t>
            </w:r>
          </w:p>
        </w:tc>
      </w:tr>
      <w:tr w:rsidR="00D35331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9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45</w:t>
            </w:r>
            <w:r w:rsidRPr="00437498">
              <w:rPr>
                <w:rFonts w:hint="eastAsia"/>
                <w:sz w:val="22"/>
                <w:szCs w:val="22"/>
              </w:rPr>
              <w:t>~1</w:t>
            </w:r>
            <w:r w:rsidRPr="00437498">
              <w:rPr>
                <w:sz w:val="22"/>
                <w:szCs w:val="22"/>
              </w:rPr>
              <w:t>0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3</w:t>
            </w:r>
            <w:r w:rsidRPr="00437498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12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George Whitesides</w:t>
            </w:r>
          </w:p>
        </w:tc>
        <w:tc>
          <w:tcPr>
            <w:tcW w:w="585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Soft Robotics</w:t>
            </w:r>
          </w:p>
        </w:tc>
      </w:tr>
      <w:tr w:rsidR="00D35331" w:rsidRPr="00153A48" w:rsidTr="00C52713">
        <w:trPr>
          <w:trHeight w:val="303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color w:val="0000FF"/>
                <w:lang w:val="fr-FR"/>
              </w:rPr>
              <w:t>Day 4 (Thu</w:t>
            </w:r>
            <w:r w:rsidR="007B4581">
              <w:rPr>
                <w:color w:val="0000FF"/>
                <w:lang w:val="fr-FR"/>
              </w:rPr>
              <w:t>esday</w:t>
            </w:r>
            <w:r w:rsidRPr="00437498">
              <w:rPr>
                <w:color w:val="0000FF"/>
                <w:lang w:val="fr-FR"/>
              </w:rPr>
              <w:t xml:space="preserve">, </w:t>
            </w:r>
            <w:r w:rsidRPr="00437498">
              <w:rPr>
                <w:rFonts w:hint="eastAsia"/>
                <w:color w:val="0000FF"/>
                <w:lang w:val="fr-FR"/>
              </w:rPr>
              <w:t>June 1</w:t>
            </w:r>
            <w:r w:rsidRPr="00437498">
              <w:rPr>
                <w:color w:val="0000FF"/>
                <w:lang w:val="fr-FR"/>
              </w:rPr>
              <w:t>6)</w:t>
            </w:r>
          </w:p>
        </w:tc>
      </w:tr>
      <w:tr w:rsidR="00D35331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9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0</w:t>
            </w:r>
            <w:r w:rsidRPr="00437498">
              <w:rPr>
                <w:rFonts w:hint="eastAsia"/>
                <w:sz w:val="22"/>
                <w:szCs w:val="22"/>
              </w:rPr>
              <w:t>0~</w:t>
            </w:r>
            <w:r w:rsidRPr="00437498">
              <w:rPr>
                <w:sz w:val="22"/>
                <w:szCs w:val="22"/>
              </w:rPr>
              <w:t>9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Sandra Harding</w:t>
            </w:r>
          </w:p>
        </w:tc>
        <w:tc>
          <w:tcPr>
            <w:tcW w:w="585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Objectivity Through Diversity: Another Logic of Scientific Research</w:t>
            </w:r>
          </w:p>
        </w:tc>
      </w:tr>
      <w:tr w:rsidR="00D35331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9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45</w:t>
            </w:r>
            <w:r w:rsidRPr="00437498">
              <w:rPr>
                <w:rFonts w:hint="eastAsia"/>
                <w:sz w:val="22"/>
                <w:szCs w:val="22"/>
              </w:rPr>
              <w:t>~1</w:t>
            </w:r>
            <w:r w:rsidRPr="00437498">
              <w:rPr>
                <w:sz w:val="22"/>
                <w:szCs w:val="22"/>
              </w:rPr>
              <w:t>0</w:t>
            </w:r>
            <w:r w:rsidRPr="00437498">
              <w:rPr>
                <w:rFonts w:hint="eastAsia"/>
                <w:sz w:val="22"/>
                <w:szCs w:val="22"/>
              </w:rPr>
              <w:t>:</w:t>
            </w:r>
            <w:r w:rsidRPr="00437498">
              <w:rPr>
                <w:sz w:val="22"/>
                <w:szCs w:val="22"/>
              </w:rPr>
              <w:t>3</w:t>
            </w:r>
            <w:r w:rsidRPr="00437498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12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Takashi Gojobori</w:t>
            </w:r>
          </w:p>
        </w:tc>
        <w:tc>
          <w:tcPr>
            <w:tcW w:w="5854" w:type="dxa"/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sz w:val="22"/>
                <w:szCs w:val="22"/>
              </w:rPr>
              <w:t>Genome Information Oriented Society as a Sustainable Future Model</w:t>
            </w:r>
          </w:p>
        </w:tc>
      </w:tr>
      <w:tr w:rsidR="00D35331" w:rsidRPr="00153A48" w:rsidTr="001F70D1">
        <w:trPr>
          <w:trHeight w:val="303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43749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437498">
              <w:rPr>
                <w:color w:val="0000FF"/>
                <w:lang w:val="fr-FR"/>
              </w:rPr>
              <w:t>Day 5 (Fri</w:t>
            </w:r>
            <w:r w:rsidR="007B4581">
              <w:rPr>
                <w:color w:val="0000FF"/>
                <w:lang w:val="fr-FR"/>
              </w:rPr>
              <w:t>day</w:t>
            </w:r>
            <w:r w:rsidRPr="00437498">
              <w:rPr>
                <w:color w:val="0000FF"/>
                <w:lang w:val="fr-FR"/>
              </w:rPr>
              <w:t xml:space="preserve">, </w:t>
            </w:r>
            <w:r w:rsidRPr="00437498">
              <w:rPr>
                <w:rFonts w:hint="eastAsia"/>
                <w:color w:val="0000FF"/>
                <w:lang w:val="fr-FR"/>
              </w:rPr>
              <w:t>June 1</w:t>
            </w:r>
            <w:r w:rsidRPr="00437498">
              <w:rPr>
                <w:color w:val="0000FF"/>
                <w:lang w:val="fr-FR"/>
              </w:rPr>
              <w:t>7)</w:t>
            </w:r>
          </w:p>
        </w:tc>
      </w:tr>
      <w:tr w:rsidR="00D35331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331" w:rsidRPr="00153A4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153A48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53A48"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153A48">
              <w:rPr>
                <w:rFonts w:hint="eastAsia"/>
                <w:sz w:val="22"/>
                <w:szCs w:val="22"/>
              </w:rPr>
              <w:t>0~1</w:t>
            </w:r>
            <w:r>
              <w:rPr>
                <w:sz w:val="22"/>
                <w:szCs w:val="22"/>
              </w:rPr>
              <w:t>1</w:t>
            </w:r>
            <w:r w:rsidRPr="00153A48"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124" w:type="dxa"/>
            <w:vAlign w:val="center"/>
          </w:tcPr>
          <w:p w:rsidR="00D35331" w:rsidRPr="00681F85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Wratt</w:t>
            </w:r>
          </w:p>
        </w:tc>
        <w:tc>
          <w:tcPr>
            <w:tcW w:w="5854" w:type="dxa"/>
            <w:vAlign w:val="center"/>
          </w:tcPr>
          <w:p w:rsidR="00D35331" w:rsidRPr="00681F85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D35331">
              <w:rPr>
                <w:sz w:val="22"/>
                <w:szCs w:val="22"/>
              </w:rPr>
              <w:t>Earth-System Science for Building a Sustainable Future - Addressing the Environmental Challenges of Climate Change</w:t>
            </w:r>
          </w:p>
        </w:tc>
      </w:tr>
      <w:tr w:rsidR="00D35331" w:rsidRPr="00153A48" w:rsidTr="00D35331">
        <w:trPr>
          <w:trHeight w:val="303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D35331" w:rsidRPr="00153A48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153A48">
              <w:rPr>
                <w:rFonts w:hint="eastAsia"/>
                <w:sz w:val="22"/>
                <w:szCs w:val="22"/>
              </w:rPr>
              <w:t>11:</w:t>
            </w:r>
            <w:r>
              <w:rPr>
                <w:sz w:val="22"/>
                <w:szCs w:val="22"/>
              </w:rPr>
              <w:t>15</w:t>
            </w:r>
            <w:r w:rsidRPr="00153A48">
              <w:rPr>
                <w:rFonts w:hint="eastAsia"/>
                <w:sz w:val="22"/>
                <w:szCs w:val="22"/>
              </w:rPr>
              <w:t>~12:00</w:t>
            </w:r>
          </w:p>
        </w:tc>
        <w:tc>
          <w:tcPr>
            <w:tcW w:w="2124" w:type="dxa"/>
            <w:vAlign w:val="center"/>
          </w:tcPr>
          <w:p w:rsidR="00D35331" w:rsidRPr="00681F85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D35331">
              <w:rPr>
                <w:sz w:val="22"/>
                <w:szCs w:val="22"/>
              </w:rPr>
              <w:t>Lawrence Kent</w:t>
            </w:r>
          </w:p>
        </w:tc>
        <w:tc>
          <w:tcPr>
            <w:tcW w:w="5854" w:type="dxa"/>
            <w:vAlign w:val="center"/>
          </w:tcPr>
          <w:p w:rsidR="00D35331" w:rsidRPr="00681F85" w:rsidRDefault="00D35331" w:rsidP="00F56246">
            <w:pPr>
              <w:snapToGrid w:val="0"/>
              <w:spacing w:beforeLines="5" w:before="18" w:afterLines="5" w:after="18"/>
              <w:rPr>
                <w:sz w:val="22"/>
                <w:szCs w:val="22"/>
              </w:rPr>
            </w:pPr>
            <w:r w:rsidRPr="00D35331">
              <w:rPr>
                <w:sz w:val="22"/>
                <w:szCs w:val="22"/>
              </w:rPr>
              <w:t>An Overview of GMO Crops R&amp;D in Africa with a Special Focus on the Gates Foundation’s Related Investments</w:t>
            </w:r>
          </w:p>
        </w:tc>
      </w:tr>
    </w:tbl>
    <w:p w:rsidR="00D35331" w:rsidRDefault="00D35331" w:rsidP="000220B7">
      <w:pPr>
        <w:spacing w:line="240" w:lineRule="atLeast"/>
        <w:rPr>
          <w:b/>
          <w:color w:val="0000FF"/>
          <w:lang w:val="fr-FR"/>
        </w:rPr>
      </w:pPr>
    </w:p>
    <w:p w:rsidR="002E4154" w:rsidRDefault="00D35331" w:rsidP="000220B7">
      <w:pPr>
        <w:spacing w:line="240" w:lineRule="atLeast"/>
        <w:rPr>
          <w:b/>
          <w:color w:val="0000FF"/>
          <w:lang w:val="fr-FR"/>
        </w:rPr>
      </w:pPr>
      <w:r>
        <w:rPr>
          <w:rFonts w:hint="eastAsia"/>
          <w:b/>
          <w:color w:val="0000FF"/>
          <w:lang w:val="fr-FR"/>
        </w:rPr>
        <w:t>Session 4:</w:t>
      </w:r>
      <w:r>
        <w:rPr>
          <w:b/>
          <w:color w:val="0000FF"/>
          <w:lang w:val="fr-FR"/>
        </w:rPr>
        <w:t xml:space="preserve"> Human Health</w:t>
      </w:r>
    </w:p>
    <w:p w:rsidR="00153A48" w:rsidRPr="00437498" w:rsidRDefault="000220B7" w:rsidP="000220B7">
      <w:pPr>
        <w:spacing w:line="240" w:lineRule="atLeast"/>
        <w:rPr>
          <w:color w:val="0000FF"/>
          <w:lang w:val="fr-FR"/>
        </w:rPr>
      </w:pPr>
      <w:r w:rsidRPr="00437498">
        <w:rPr>
          <w:color w:val="0000FF"/>
          <w:lang w:val="fr-FR"/>
        </w:rPr>
        <w:t xml:space="preserve">Day </w:t>
      </w:r>
      <w:r w:rsidR="00BA1817" w:rsidRPr="00437498">
        <w:rPr>
          <w:rFonts w:hint="eastAsia"/>
          <w:color w:val="0000FF"/>
          <w:lang w:val="fr-FR"/>
        </w:rPr>
        <w:t>2</w:t>
      </w:r>
      <w:r w:rsidRPr="00437498">
        <w:rPr>
          <w:color w:val="0000FF"/>
          <w:lang w:val="fr-FR"/>
        </w:rPr>
        <w:t xml:space="preserve"> (</w:t>
      </w:r>
      <w:r w:rsidRPr="00437498">
        <w:rPr>
          <w:rFonts w:hint="eastAsia"/>
          <w:color w:val="0000FF"/>
          <w:lang w:val="fr-FR"/>
        </w:rPr>
        <w:t>Tuesday</w:t>
      </w:r>
      <w:r w:rsidRPr="00437498">
        <w:rPr>
          <w:color w:val="0000FF"/>
          <w:lang w:val="fr-FR"/>
        </w:rPr>
        <w:t xml:space="preserve">, </w:t>
      </w:r>
      <w:r w:rsidRPr="00437498">
        <w:rPr>
          <w:rFonts w:hint="eastAsia"/>
          <w:color w:val="0000FF"/>
          <w:lang w:val="fr-FR"/>
        </w:rPr>
        <w:t>June 14</w:t>
      </w:r>
      <w:r w:rsidRPr="00437498">
        <w:rPr>
          <w:color w:val="0000FF"/>
          <w:lang w:val="fr-FR"/>
        </w:rPr>
        <w:t>)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258"/>
        <w:gridCol w:w="4720"/>
      </w:tblGrid>
      <w:tr w:rsidR="000220B7" w:rsidRPr="00153A48" w:rsidTr="005C1E68">
        <w:tc>
          <w:tcPr>
            <w:tcW w:w="1562" w:type="dxa"/>
            <w:tcBorders>
              <w:top w:val="single" w:sz="12" w:space="0" w:color="auto"/>
            </w:tcBorders>
            <w:shd w:val="clear" w:color="auto" w:fill="D9D9D9"/>
          </w:tcPr>
          <w:p w:rsidR="000220B7" w:rsidRPr="00153A48" w:rsidRDefault="000220B7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shd w:val="clear" w:color="auto" w:fill="D9D9D9"/>
          </w:tcPr>
          <w:p w:rsidR="000220B7" w:rsidRPr="00153A48" w:rsidRDefault="000220B7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Speaker </w:t>
            </w:r>
          </w:p>
        </w:tc>
        <w:tc>
          <w:tcPr>
            <w:tcW w:w="4720" w:type="dxa"/>
            <w:tcBorders>
              <w:top w:val="single" w:sz="12" w:space="0" w:color="auto"/>
            </w:tcBorders>
            <w:shd w:val="clear" w:color="auto" w:fill="D9D9D9"/>
          </w:tcPr>
          <w:p w:rsidR="000220B7" w:rsidRPr="00153A48" w:rsidRDefault="000220B7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Title </w:t>
            </w:r>
          </w:p>
        </w:tc>
      </w:tr>
      <w:tr w:rsidR="004574FD" w:rsidRPr="00153A48" w:rsidTr="00437498">
        <w:trPr>
          <w:trHeight w:val="440"/>
        </w:trPr>
        <w:tc>
          <w:tcPr>
            <w:tcW w:w="9540" w:type="dxa"/>
            <w:gridSpan w:val="3"/>
            <w:vAlign w:val="center"/>
          </w:tcPr>
          <w:p w:rsidR="004574FD" w:rsidRPr="00153A48" w:rsidRDefault="004574FD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Early </w:t>
            </w:r>
            <w:r w:rsidR="00D35331">
              <w:rPr>
                <w:color w:val="0000FF"/>
                <w:sz w:val="22"/>
                <w:szCs w:val="22"/>
              </w:rPr>
              <w:t xml:space="preserve">Disease 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Detection </w:t>
            </w:r>
            <w:r w:rsidR="00D35331">
              <w:rPr>
                <w:color w:val="0000FF"/>
                <w:sz w:val="22"/>
                <w:szCs w:val="22"/>
              </w:rPr>
              <w:t xml:space="preserve"> 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              Chair: Dr. Chen-Yang Shen</w:t>
            </w:r>
          </w:p>
        </w:tc>
      </w:tr>
      <w:tr w:rsidR="000220B7" w:rsidRPr="00153A48" w:rsidTr="00437498">
        <w:trPr>
          <w:trHeight w:val="842"/>
        </w:trPr>
        <w:tc>
          <w:tcPr>
            <w:tcW w:w="1562" w:type="dxa"/>
            <w:vAlign w:val="center"/>
          </w:tcPr>
          <w:p w:rsidR="000220B7" w:rsidRPr="00153A48" w:rsidRDefault="000220B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14:00~1</w:t>
            </w:r>
            <w:r w:rsidR="00A760A3" w:rsidRPr="00153A48">
              <w:rPr>
                <w:rFonts w:eastAsiaTheme="minorEastAsia" w:hint="eastAsia"/>
                <w:sz w:val="22"/>
                <w:szCs w:val="22"/>
              </w:rPr>
              <w:t>4</w:t>
            </w:r>
            <w:r w:rsidRPr="00153A48">
              <w:rPr>
                <w:rFonts w:eastAsiaTheme="minorEastAsia" w:hint="eastAsia"/>
                <w:sz w:val="22"/>
                <w:szCs w:val="22"/>
              </w:rPr>
              <w:t>:</w:t>
            </w:r>
            <w:r w:rsidR="00A760A3" w:rsidRPr="00153A48">
              <w:rPr>
                <w:rFonts w:eastAsiaTheme="minorEastAsia" w:hint="eastAsia"/>
                <w:sz w:val="22"/>
                <w:szCs w:val="22"/>
              </w:rPr>
              <w:t>5</w:t>
            </w:r>
            <w:r w:rsidRPr="00153A48">
              <w:rPr>
                <w:rFonts w:eastAsiaTheme="minorEastAsia" w:hint="eastAsia"/>
                <w:sz w:val="22"/>
                <w:szCs w:val="22"/>
              </w:rPr>
              <w:t>0</w:t>
            </w:r>
          </w:p>
        </w:tc>
        <w:tc>
          <w:tcPr>
            <w:tcW w:w="3258" w:type="dxa"/>
            <w:vAlign w:val="center"/>
          </w:tcPr>
          <w:p w:rsidR="003366DC" w:rsidRPr="00153A48" w:rsidRDefault="000220B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Chien-Jen</w:t>
            </w:r>
            <w:r w:rsidR="003366DC" w:rsidRPr="00153A48">
              <w:rPr>
                <w:rFonts w:eastAsiaTheme="minorEastAsia"/>
                <w:sz w:val="22"/>
                <w:szCs w:val="22"/>
              </w:rPr>
              <w:t xml:space="preserve"> Chen</w:t>
            </w:r>
          </w:p>
          <w:p w:rsidR="000220B7" w:rsidRPr="00153A48" w:rsidRDefault="003366D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Vice President, Republic of China</w:t>
            </w:r>
          </w:p>
        </w:tc>
        <w:tc>
          <w:tcPr>
            <w:tcW w:w="4720" w:type="dxa"/>
            <w:vAlign w:val="center"/>
          </w:tcPr>
          <w:p w:rsidR="000220B7" w:rsidRPr="00153A48" w:rsidRDefault="00153A4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Risk Calculators for Predicting Cirrhosis and Liver Cancer in Patients Affected with Chronic Viral Hepatitis: REVEAL-HBV/HCV Study</w:t>
            </w:r>
          </w:p>
        </w:tc>
      </w:tr>
      <w:tr w:rsidR="000220B7" w:rsidRPr="00153A48" w:rsidTr="00437498">
        <w:trPr>
          <w:trHeight w:val="839"/>
        </w:trPr>
        <w:tc>
          <w:tcPr>
            <w:tcW w:w="1562" w:type="dxa"/>
            <w:vAlign w:val="center"/>
          </w:tcPr>
          <w:p w:rsidR="000220B7" w:rsidRPr="00153A48" w:rsidRDefault="00A760A3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14:50~15:30</w:t>
            </w:r>
          </w:p>
        </w:tc>
        <w:tc>
          <w:tcPr>
            <w:tcW w:w="3258" w:type="dxa"/>
            <w:vAlign w:val="center"/>
          </w:tcPr>
          <w:p w:rsidR="000220B7" w:rsidRPr="00153A48" w:rsidRDefault="000220B7" w:rsidP="00A65C51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Hiroyasu Iso</w:t>
            </w:r>
          </w:p>
          <w:p w:rsidR="000220B7" w:rsidRPr="00153A48" w:rsidRDefault="007E75A4" w:rsidP="00A65C51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Osaka University</w:t>
            </w:r>
            <w:r w:rsidRPr="00153A48">
              <w:rPr>
                <w:rFonts w:eastAsiaTheme="minorEastAsia" w:hint="eastAsia"/>
                <w:sz w:val="22"/>
                <w:szCs w:val="22"/>
              </w:rPr>
              <w:t>, Japan</w:t>
            </w:r>
          </w:p>
        </w:tc>
        <w:tc>
          <w:tcPr>
            <w:tcW w:w="4720" w:type="dxa"/>
            <w:vAlign w:val="center"/>
          </w:tcPr>
          <w:p w:rsidR="000220B7" w:rsidRPr="00153A48" w:rsidRDefault="00153A4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Early Disease Detection: Evidence for Community –based Detection and Control for Hypertension and Emerging Health Issues in Japan</w:t>
            </w:r>
          </w:p>
        </w:tc>
      </w:tr>
      <w:tr w:rsidR="00E42288" w:rsidRPr="00153A48" w:rsidTr="00437498">
        <w:trPr>
          <w:trHeight w:val="452"/>
        </w:trPr>
        <w:tc>
          <w:tcPr>
            <w:tcW w:w="9540" w:type="dxa"/>
            <w:gridSpan w:val="3"/>
            <w:vAlign w:val="center"/>
          </w:tcPr>
          <w:p w:rsidR="00E42288" w:rsidRPr="00153A48" w:rsidRDefault="00E4228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Emerging Infectious Disease </w:t>
            </w:r>
            <w:r w:rsidR="00D35331">
              <w:rPr>
                <w:color w:val="0000FF"/>
                <w:sz w:val="22"/>
                <w:szCs w:val="22"/>
              </w:rPr>
              <w:t xml:space="preserve">      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    Chair: Dr. Michael Lai</w:t>
            </w:r>
          </w:p>
        </w:tc>
      </w:tr>
      <w:tr w:rsidR="00E42288" w:rsidRPr="00153A48" w:rsidTr="005C1E68">
        <w:trPr>
          <w:trHeight w:val="543"/>
        </w:trPr>
        <w:tc>
          <w:tcPr>
            <w:tcW w:w="1562" w:type="dxa"/>
            <w:vAlign w:val="center"/>
          </w:tcPr>
          <w:p w:rsidR="00E42288" w:rsidRPr="00153A48" w:rsidRDefault="00E4228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16:00~1</w:t>
            </w:r>
            <w:r w:rsidR="00A760A3" w:rsidRPr="00153A48">
              <w:rPr>
                <w:rFonts w:eastAsiaTheme="minorEastAsia" w:hint="eastAsia"/>
                <w:sz w:val="22"/>
                <w:szCs w:val="22"/>
              </w:rPr>
              <w:t>6</w:t>
            </w:r>
            <w:r w:rsidRPr="00153A48">
              <w:rPr>
                <w:rFonts w:eastAsiaTheme="minorEastAsia" w:hint="eastAsia"/>
                <w:sz w:val="22"/>
                <w:szCs w:val="22"/>
              </w:rPr>
              <w:t>:30</w:t>
            </w:r>
          </w:p>
        </w:tc>
        <w:tc>
          <w:tcPr>
            <w:tcW w:w="3258" w:type="dxa"/>
            <w:vAlign w:val="center"/>
          </w:tcPr>
          <w:p w:rsidR="001E7219" w:rsidRPr="00153A48" w:rsidRDefault="001E7219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Gwong-Jen J</w:t>
            </w:r>
            <w:r w:rsidRPr="00153A48">
              <w:rPr>
                <w:rFonts w:eastAsiaTheme="minorEastAsia" w:hint="eastAsia"/>
                <w:sz w:val="22"/>
                <w:szCs w:val="22"/>
              </w:rPr>
              <w:t xml:space="preserve"> Chang</w:t>
            </w:r>
          </w:p>
          <w:p w:rsidR="00E42288" w:rsidRPr="00153A48" w:rsidRDefault="001E7219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 xml:space="preserve">Centers for Disease Control and Prevention, </w:t>
            </w:r>
            <w:r w:rsidRPr="00153A48">
              <w:rPr>
                <w:rFonts w:eastAsiaTheme="minorEastAsia" w:hint="eastAsia"/>
                <w:sz w:val="22"/>
                <w:szCs w:val="22"/>
              </w:rPr>
              <w:t xml:space="preserve">USA </w:t>
            </w:r>
          </w:p>
        </w:tc>
        <w:tc>
          <w:tcPr>
            <w:tcW w:w="4720" w:type="dxa"/>
            <w:vAlign w:val="center"/>
          </w:tcPr>
          <w:p w:rsidR="00E42288" w:rsidRPr="00153A48" w:rsidRDefault="00153A4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Race to Control Emerging Zika Virus in Latin America</w:t>
            </w:r>
          </w:p>
        </w:tc>
      </w:tr>
      <w:tr w:rsidR="00E42288" w:rsidRPr="00153A48" w:rsidTr="005C1E68">
        <w:trPr>
          <w:trHeight w:val="543"/>
        </w:trPr>
        <w:tc>
          <w:tcPr>
            <w:tcW w:w="1562" w:type="dxa"/>
            <w:vAlign w:val="center"/>
          </w:tcPr>
          <w:p w:rsidR="00E42288" w:rsidRPr="00153A48" w:rsidRDefault="00A760A3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16:30~17:00</w:t>
            </w:r>
          </w:p>
        </w:tc>
        <w:tc>
          <w:tcPr>
            <w:tcW w:w="3258" w:type="dxa"/>
            <w:vAlign w:val="center"/>
          </w:tcPr>
          <w:p w:rsidR="001E7219" w:rsidRPr="00153A48" w:rsidRDefault="001E7219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Linfa Wang</w:t>
            </w:r>
          </w:p>
          <w:p w:rsidR="00E42288" w:rsidRPr="00153A48" w:rsidRDefault="001E7219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Duke-NUS Medical School</w:t>
            </w:r>
            <w:r w:rsidRPr="00153A48">
              <w:rPr>
                <w:rFonts w:eastAsiaTheme="minorEastAsia" w:hint="eastAsia"/>
                <w:sz w:val="22"/>
                <w:szCs w:val="22"/>
              </w:rPr>
              <w:t>, Singapore</w:t>
            </w:r>
          </w:p>
        </w:tc>
        <w:tc>
          <w:tcPr>
            <w:tcW w:w="4720" w:type="dxa"/>
            <w:vAlign w:val="center"/>
          </w:tcPr>
          <w:p w:rsidR="00E42288" w:rsidRPr="00153A48" w:rsidRDefault="00153A4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Bats and Emerging Infectious Diseases: What have we Learnt in the Last two Decades?</w:t>
            </w:r>
          </w:p>
        </w:tc>
      </w:tr>
      <w:tr w:rsidR="00E42288" w:rsidRPr="00153A48" w:rsidTr="005C1E68">
        <w:trPr>
          <w:trHeight w:val="543"/>
        </w:trPr>
        <w:tc>
          <w:tcPr>
            <w:tcW w:w="1562" w:type="dxa"/>
            <w:vAlign w:val="center"/>
          </w:tcPr>
          <w:p w:rsidR="00E42288" w:rsidRPr="00153A48" w:rsidRDefault="00A760A3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17:00~17:30</w:t>
            </w:r>
          </w:p>
        </w:tc>
        <w:tc>
          <w:tcPr>
            <w:tcW w:w="3258" w:type="dxa"/>
            <w:vAlign w:val="center"/>
          </w:tcPr>
          <w:p w:rsidR="00E42288" w:rsidRPr="00153A48" w:rsidRDefault="00E4228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Shin-Ru Shih</w:t>
            </w:r>
          </w:p>
          <w:p w:rsidR="00E42288" w:rsidRPr="00153A48" w:rsidRDefault="00E4228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Chang Gung University, Taiwan</w:t>
            </w:r>
          </w:p>
        </w:tc>
        <w:tc>
          <w:tcPr>
            <w:tcW w:w="4720" w:type="dxa"/>
            <w:vAlign w:val="center"/>
          </w:tcPr>
          <w:p w:rsidR="00E42288" w:rsidRPr="00153A48" w:rsidRDefault="00153A4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Host Factors Involved in Enterovirus Infection – Potential Applications in Therapy and Prophylaxis</w:t>
            </w:r>
          </w:p>
        </w:tc>
      </w:tr>
    </w:tbl>
    <w:p w:rsidR="00153A48" w:rsidRPr="00153A48" w:rsidRDefault="00153A48" w:rsidP="00E42288">
      <w:pPr>
        <w:spacing w:line="240" w:lineRule="atLeast"/>
        <w:rPr>
          <w:b/>
          <w:color w:val="0000FF"/>
          <w:sz w:val="22"/>
          <w:szCs w:val="22"/>
          <w:lang w:val="fr-FR"/>
        </w:rPr>
      </w:pPr>
    </w:p>
    <w:p w:rsidR="00153A48" w:rsidRPr="00437498" w:rsidRDefault="00E42288" w:rsidP="00E42288">
      <w:pPr>
        <w:spacing w:line="240" w:lineRule="atLeast"/>
        <w:rPr>
          <w:color w:val="0000FF"/>
          <w:sz w:val="22"/>
          <w:szCs w:val="22"/>
          <w:lang w:val="fr-FR"/>
        </w:rPr>
      </w:pPr>
      <w:r w:rsidRPr="00437498">
        <w:rPr>
          <w:color w:val="0000FF"/>
          <w:sz w:val="22"/>
          <w:szCs w:val="22"/>
          <w:lang w:val="fr-FR"/>
        </w:rPr>
        <w:t xml:space="preserve">Day </w:t>
      </w:r>
      <w:r w:rsidR="00BA1817" w:rsidRPr="00437498">
        <w:rPr>
          <w:rFonts w:hint="eastAsia"/>
          <w:color w:val="0000FF"/>
          <w:sz w:val="22"/>
          <w:szCs w:val="22"/>
          <w:lang w:val="fr-FR"/>
        </w:rPr>
        <w:t>3</w:t>
      </w:r>
      <w:r w:rsidRPr="00437498">
        <w:rPr>
          <w:color w:val="0000FF"/>
          <w:sz w:val="22"/>
          <w:szCs w:val="22"/>
          <w:lang w:val="fr-FR"/>
        </w:rPr>
        <w:t xml:space="preserve"> (</w:t>
      </w:r>
      <w:r w:rsidRPr="00437498">
        <w:rPr>
          <w:rFonts w:hint="eastAsia"/>
          <w:color w:val="0000FF"/>
          <w:sz w:val="22"/>
          <w:szCs w:val="22"/>
          <w:lang w:val="fr-FR"/>
        </w:rPr>
        <w:t>Wednesday</w:t>
      </w:r>
      <w:r w:rsidRPr="00437498">
        <w:rPr>
          <w:color w:val="0000FF"/>
          <w:sz w:val="22"/>
          <w:szCs w:val="22"/>
          <w:lang w:val="fr-FR"/>
        </w:rPr>
        <w:t xml:space="preserve">, </w:t>
      </w:r>
      <w:r w:rsidRPr="00437498">
        <w:rPr>
          <w:rFonts w:hint="eastAsia"/>
          <w:color w:val="0000FF"/>
          <w:sz w:val="22"/>
          <w:szCs w:val="22"/>
          <w:lang w:val="fr-FR"/>
        </w:rPr>
        <w:t>June 15</w:t>
      </w:r>
      <w:r w:rsidRPr="00437498">
        <w:rPr>
          <w:color w:val="0000FF"/>
          <w:sz w:val="22"/>
          <w:szCs w:val="22"/>
          <w:lang w:val="fr-FR"/>
        </w:rPr>
        <w:t>)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258"/>
        <w:gridCol w:w="4720"/>
      </w:tblGrid>
      <w:tr w:rsidR="00E42288" w:rsidRPr="00153A48" w:rsidTr="005C1E68">
        <w:tc>
          <w:tcPr>
            <w:tcW w:w="1562" w:type="dxa"/>
            <w:tcBorders>
              <w:top w:val="single" w:sz="12" w:space="0" w:color="auto"/>
            </w:tcBorders>
            <w:shd w:val="clear" w:color="auto" w:fill="D9D9D9"/>
          </w:tcPr>
          <w:p w:rsidR="00E42288" w:rsidRPr="00153A48" w:rsidRDefault="00E42288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shd w:val="clear" w:color="auto" w:fill="D9D9D9"/>
          </w:tcPr>
          <w:p w:rsidR="00E42288" w:rsidRPr="00153A48" w:rsidRDefault="00E42288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Speaker </w:t>
            </w:r>
          </w:p>
        </w:tc>
        <w:tc>
          <w:tcPr>
            <w:tcW w:w="4720" w:type="dxa"/>
            <w:tcBorders>
              <w:top w:val="single" w:sz="12" w:space="0" w:color="auto"/>
            </w:tcBorders>
            <w:shd w:val="clear" w:color="auto" w:fill="D9D9D9"/>
          </w:tcPr>
          <w:p w:rsidR="00E42288" w:rsidRPr="00153A48" w:rsidRDefault="00E42288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Title </w:t>
            </w:r>
          </w:p>
        </w:tc>
      </w:tr>
      <w:tr w:rsidR="00E42288" w:rsidRPr="00153A48" w:rsidTr="00D73D2E">
        <w:trPr>
          <w:trHeight w:val="303"/>
        </w:trPr>
        <w:tc>
          <w:tcPr>
            <w:tcW w:w="9540" w:type="dxa"/>
            <w:gridSpan w:val="3"/>
            <w:vAlign w:val="center"/>
          </w:tcPr>
          <w:p w:rsidR="00E42288" w:rsidRPr="00153A48" w:rsidRDefault="00E42288" w:rsidP="00F37934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rFonts w:hint="eastAsia"/>
                <w:color w:val="0000FF"/>
                <w:sz w:val="22"/>
                <w:szCs w:val="22"/>
              </w:rPr>
              <w:t>P</w:t>
            </w:r>
            <w:r w:rsidR="00F37934">
              <w:rPr>
                <w:color w:val="0000FF"/>
                <w:sz w:val="22"/>
                <w:szCs w:val="22"/>
              </w:rPr>
              <w:t>ersonalized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Medicine </w:t>
            </w:r>
            <w:r w:rsidR="00A65C51">
              <w:rPr>
                <w:color w:val="0000FF"/>
                <w:sz w:val="22"/>
                <w:szCs w:val="22"/>
              </w:rPr>
              <w:t xml:space="preserve">   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            Chair: Dr. Chen-Yang Shen </w:t>
            </w:r>
          </w:p>
        </w:tc>
      </w:tr>
      <w:tr w:rsidR="00E42288" w:rsidRPr="00153A48" w:rsidTr="005C1E68">
        <w:trPr>
          <w:trHeight w:val="696"/>
        </w:trPr>
        <w:tc>
          <w:tcPr>
            <w:tcW w:w="1562" w:type="dxa"/>
            <w:vAlign w:val="center"/>
          </w:tcPr>
          <w:p w:rsidR="00E42288" w:rsidRPr="00153A48" w:rsidRDefault="00E4228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11:00~12:00</w:t>
            </w:r>
          </w:p>
        </w:tc>
        <w:tc>
          <w:tcPr>
            <w:tcW w:w="3258" w:type="dxa"/>
            <w:vAlign w:val="center"/>
          </w:tcPr>
          <w:p w:rsidR="00E42288" w:rsidRPr="00153A48" w:rsidRDefault="00E4228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Pan-Chyr Yang</w:t>
            </w:r>
          </w:p>
          <w:p w:rsidR="00FC0FC5" w:rsidRPr="00153A48" w:rsidRDefault="00FC0FC5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 xml:space="preserve">National Taiwan University, </w:t>
            </w:r>
            <w:r w:rsidRPr="00153A48">
              <w:rPr>
                <w:rFonts w:eastAsiaTheme="minorEastAsia"/>
                <w:sz w:val="22"/>
                <w:szCs w:val="22"/>
              </w:rPr>
              <w:t>Taiwan</w:t>
            </w:r>
          </w:p>
        </w:tc>
        <w:tc>
          <w:tcPr>
            <w:tcW w:w="4720" w:type="dxa"/>
            <w:vAlign w:val="center"/>
          </w:tcPr>
          <w:p w:rsidR="00E42288" w:rsidRPr="00153A48" w:rsidRDefault="00153A48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Precision Medicine for Lung Cancer: Current and Beyond</w:t>
            </w:r>
          </w:p>
        </w:tc>
      </w:tr>
    </w:tbl>
    <w:p w:rsidR="005C1E68" w:rsidRDefault="005C1E68">
      <w:pPr>
        <w:widowControl/>
        <w:rPr>
          <w:b/>
          <w:color w:val="0000FF"/>
          <w:sz w:val="22"/>
          <w:szCs w:val="22"/>
          <w:lang w:val="fr-FR"/>
        </w:rPr>
      </w:pPr>
      <w:r>
        <w:rPr>
          <w:b/>
          <w:color w:val="0000FF"/>
          <w:sz w:val="22"/>
          <w:szCs w:val="22"/>
          <w:lang w:val="fr-FR"/>
        </w:rPr>
        <w:br w:type="page"/>
      </w:r>
    </w:p>
    <w:p w:rsidR="00A65C51" w:rsidRPr="00153A48" w:rsidRDefault="00A65C51" w:rsidP="00BA1817">
      <w:pPr>
        <w:spacing w:line="240" w:lineRule="atLeast"/>
        <w:rPr>
          <w:b/>
          <w:color w:val="0000FF"/>
          <w:sz w:val="22"/>
          <w:szCs w:val="22"/>
          <w:lang w:val="fr-FR"/>
        </w:rPr>
      </w:pPr>
    </w:p>
    <w:p w:rsidR="00153A48" w:rsidRPr="00437498" w:rsidRDefault="00BA1817" w:rsidP="00BA1817">
      <w:pPr>
        <w:spacing w:line="240" w:lineRule="atLeast"/>
        <w:rPr>
          <w:color w:val="0000FF"/>
          <w:sz w:val="22"/>
          <w:szCs w:val="22"/>
          <w:lang w:val="fr-FR"/>
        </w:rPr>
      </w:pPr>
      <w:r w:rsidRPr="00437498">
        <w:rPr>
          <w:color w:val="0000FF"/>
          <w:sz w:val="22"/>
          <w:szCs w:val="22"/>
          <w:lang w:val="fr-FR"/>
        </w:rPr>
        <w:t xml:space="preserve">Day </w:t>
      </w:r>
      <w:r w:rsidRPr="00437498">
        <w:rPr>
          <w:rFonts w:hint="eastAsia"/>
          <w:color w:val="0000FF"/>
          <w:sz w:val="22"/>
          <w:szCs w:val="22"/>
          <w:lang w:val="fr-FR"/>
        </w:rPr>
        <w:t>4</w:t>
      </w:r>
      <w:r w:rsidRPr="00437498">
        <w:rPr>
          <w:color w:val="0000FF"/>
          <w:sz w:val="22"/>
          <w:szCs w:val="22"/>
          <w:lang w:val="fr-FR"/>
        </w:rPr>
        <w:t xml:space="preserve"> (</w:t>
      </w:r>
      <w:r w:rsidRPr="00437498">
        <w:rPr>
          <w:rFonts w:hint="eastAsia"/>
          <w:color w:val="0000FF"/>
          <w:sz w:val="22"/>
          <w:szCs w:val="22"/>
          <w:lang w:val="fr-FR"/>
        </w:rPr>
        <w:t>Thursday</w:t>
      </w:r>
      <w:r w:rsidRPr="00437498">
        <w:rPr>
          <w:color w:val="0000FF"/>
          <w:sz w:val="22"/>
          <w:szCs w:val="22"/>
          <w:lang w:val="fr-FR"/>
        </w:rPr>
        <w:t xml:space="preserve">, </w:t>
      </w:r>
      <w:r w:rsidRPr="00437498">
        <w:rPr>
          <w:rFonts w:hint="eastAsia"/>
          <w:color w:val="0000FF"/>
          <w:sz w:val="22"/>
          <w:szCs w:val="22"/>
          <w:lang w:val="fr-FR"/>
        </w:rPr>
        <w:t>June 16</w:t>
      </w:r>
      <w:r w:rsidRPr="00437498">
        <w:rPr>
          <w:color w:val="0000FF"/>
          <w:sz w:val="22"/>
          <w:szCs w:val="22"/>
          <w:lang w:val="fr-FR"/>
        </w:rPr>
        <w:t>)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3"/>
        <w:gridCol w:w="15"/>
        <w:gridCol w:w="2663"/>
        <w:gridCol w:w="5287"/>
      </w:tblGrid>
      <w:tr w:rsidR="0046254C" w:rsidRPr="00153A48" w:rsidTr="00153A48">
        <w:tc>
          <w:tcPr>
            <w:tcW w:w="1562" w:type="dxa"/>
            <w:tcBorders>
              <w:top w:val="single" w:sz="12" w:space="0" w:color="auto"/>
            </w:tcBorders>
            <w:shd w:val="clear" w:color="auto" w:fill="D9D9D9"/>
          </w:tcPr>
          <w:p w:rsidR="0046254C" w:rsidRPr="00153A48" w:rsidRDefault="0046254C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691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46254C" w:rsidRPr="00153A48" w:rsidRDefault="0046254C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Speaker 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shd w:val="clear" w:color="auto" w:fill="D9D9D9"/>
          </w:tcPr>
          <w:p w:rsidR="0046254C" w:rsidRPr="00153A48" w:rsidRDefault="0046254C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Title </w:t>
            </w:r>
          </w:p>
        </w:tc>
      </w:tr>
      <w:tr w:rsidR="0046254C" w:rsidRPr="00153A48" w:rsidTr="00011809">
        <w:trPr>
          <w:trHeight w:val="676"/>
        </w:trPr>
        <w:tc>
          <w:tcPr>
            <w:tcW w:w="9540" w:type="dxa"/>
            <w:gridSpan w:val="5"/>
            <w:vAlign w:val="center"/>
          </w:tcPr>
          <w:p w:rsidR="0046254C" w:rsidRPr="00153A48" w:rsidRDefault="0046254C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color w:val="0000FF"/>
                <w:sz w:val="22"/>
                <w:szCs w:val="22"/>
              </w:rPr>
              <w:t>Environmental Hormones and Persistent Organic Pollutants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="00A65C51">
              <w:rPr>
                <w:color w:val="0000FF"/>
                <w:sz w:val="22"/>
                <w:szCs w:val="22"/>
              </w:rPr>
              <w:t>(</w:t>
            </w:r>
            <w:r w:rsidR="00A65C51" w:rsidRPr="00A65C51">
              <w:rPr>
                <w:color w:val="0000FF"/>
                <w:sz w:val="22"/>
                <w:szCs w:val="22"/>
              </w:rPr>
              <w:t>organized by Environmental Quality Protection</w:t>
            </w:r>
            <w:r w:rsidR="00182F4B">
              <w:rPr>
                <w:color w:val="0000FF"/>
                <w:sz w:val="22"/>
                <w:szCs w:val="22"/>
              </w:rPr>
              <w:t xml:space="preserve"> Foundation</w:t>
            </w:r>
            <w:r w:rsidR="00A65C51">
              <w:rPr>
                <w:color w:val="0000FF"/>
                <w:sz w:val="22"/>
                <w:szCs w:val="22"/>
              </w:rPr>
              <w:t xml:space="preserve">)      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Chair: </w:t>
            </w:r>
            <w:r w:rsidRPr="00153A48">
              <w:rPr>
                <w:color w:val="0000FF"/>
                <w:sz w:val="22"/>
                <w:szCs w:val="22"/>
              </w:rPr>
              <w:t>Ling Yong-Chien, Tsu-Chang Hung, Hsieh Ying-Shih</w:t>
            </w:r>
          </w:p>
        </w:tc>
      </w:tr>
      <w:tr w:rsidR="0046254C" w:rsidRPr="00153A48" w:rsidTr="00153A48">
        <w:trPr>
          <w:trHeight w:val="949"/>
        </w:trPr>
        <w:tc>
          <w:tcPr>
            <w:tcW w:w="1562" w:type="dxa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11:00~11:30</w:t>
            </w:r>
          </w:p>
        </w:tc>
        <w:tc>
          <w:tcPr>
            <w:tcW w:w="2691" w:type="dxa"/>
            <w:gridSpan w:val="3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Govinda Gorle</w:t>
            </w:r>
          </w:p>
        </w:tc>
        <w:tc>
          <w:tcPr>
            <w:tcW w:w="5287" w:type="dxa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Bi2Se3 Microplate Structures as NIR Light Induced Photocatalysts for Degradation of Organic Pollutant Dyes and Photothermal/Photodynamic Inactivation of Bacteria</w:t>
            </w:r>
          </w:p>
        </w:tc>
      </w:tr>
      <w:tr w:rsidR="0046254C" w:rsidRPr="00153A48" w:rsidTr="0031172E">
        <w:trPr>
          <w:trHeight w:val="654"/>
        </w:trPr>
        <w:tc>
          <w:tcPr>
            <w:tcW w:w="1562" w:type="dxa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11:30~12:00</w:t>
            </w:r>
          </w:p>
        </w:tc>
        <w:tc>
          <w:tcPr>
            <w:tcW w:w="2691" w:type="dxa"/>
            <w:gridSpan w:val="3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TBA</w:t>
            </w:r>
          </w:p>
        </w:tc>
        <w:tc>
          <w:tcPr>
            <w:tcW w:w="5287" w:type="dxa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TBA</w:t>
            </w:r>
          </w:p>
        </w:tc>
      </w:tr>
      <w:tr w:rsidR="0046254C" w:rsidRPr="00153A48" w:rsidTr="00436599">
        <w:trPr>
          <w:trHeight w:val="398"/>
        </w:trPr>
        <w:tc>
          <w:tcPr>
            <w:tcW w:w="9540" w:type="dxa"/>
            <w:gridSpan w:val="5"/>
            <w:vAlign w:val="center"/>
          </w:tcPr>
          <w:p w:rsidR="0046254C" w:rsidRPr="00153A48" w:rsidRDefault="0046254C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hint="eastAsia"/>
                <w:color w:val="0000FF"/>
                <w:sz w:val="22"/>
                <w:szCs w:val="22"/>
              </w:rPr>
              <w:t>Lunch &amp; Poster Session</w:t>
            </w:r>
          </w:p>
        </w:tc>
      </w:tr>
      <w:tr w:rsidR="0046254C" w:rsidRPr="00153A48" w:rsidTr="00153A48">
        <w:trPr>
          <w:trHeight w:val="602"/>
        </w:trPr>
        <w:tc>
          <w:tcPr>
            <w:tcW w:w="1575" w:type="dxa"/>
            <w:gridSpan w:val="2"/>
            <w:vAlign w:val="center"/>
          </w:tcPr>
          <w:p w:rsidR="0046254C" w:rsidRPr="00153A48" w:rsidRDefault="00F83C47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14:00~14:30</w:t>
            </w:r>
          </w:p>
        </w:tc>
        <w:tc>
          <w:tcPr>
            <w:tcW w:w="2678" w:type="dxa"/>
            <w:gridSpan w:val="2"/>
            <w:vAlign w:val="center"/>
          </w:tcPr>
          <w:p w:rsidR="0046254C" w:rsidRPr="00153A48" w:rsidRDefault="00F83C47" w:rsidP="00A65C51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Shin-Cheng Yeh</w:t>
            </w:r>
          </w:p>
        </w:tc>
        <w:tc>
          <w:tcPr>
            <w:tcW w:w="5287" w:type="dxa"/>
            <w:vAlign w:val="center"/>
          </w:tcPr>
          <w:p w:rsidR="0046254C" w:rsidRPr="00153A48" w:rsidRDefault="00F83C47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The Willingness to Pay for Averting from the Endocrine Disrupting Chemicals of the Residents in Taiwan</w:t>
            </w:r>
          </w:p>
        </w:tc>
      </w:tr>
      <w:tr w:rsidR="00F83C47" w:rsidRPr="00153A48" w:rsidTr="00153A48">
        <w:trPr>
          <w:trHeight w:val="602"/>
        </w:trPr>
        <w:tc>
          <w:tcPr>
            <w:tcW w:w="1575" w:type="dxa"/>
            <w:gridSpan w:val="2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14:30~15:00</w:t>
            </w:r>
          </w:p>
        </w:tc>
        <w:tc>
          <w:tcPr>
            <w:tcW w:w="2678" w:type="dxa"/>
            <w:gridSpan w:val="2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Li-Lian Liu</w:t>
            </w:r>
          </w:p>
        </w:tc>
        <w:tc>
          <w:tcPr>
            <w:tcW w:w="5287" w:type="dxa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An Overview of Field and Laboratory Studies of Environmental Hormones and POPs on Aquatic Animals in Taiwan</w:t>
            </w:r>
          </w:p>
        </w:tc>
      </w:tr>
      <w:tr w:rsidR="00F83C47" w:rsidRPr="00153A48" w:rsidTr="00153A48">
        <w:trPr>
          <w:trHeight w:val="602"/>
        </w:trPr>
        <w:tc>
          <w:tcPr>
            <w:tcW w:w="1575" w:type="dxa"/>
            <w:gridSpan w:val="2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15:00~15:30</w:t>
            </w:r>
          </w:p>
        </w:tc>
        <w:tc>
          <w:tcPr>
            <w:tcW w:w="2678" w:type="dxa"/>
            <w:gridSpan w:val="2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Yueh-Yun Yao</w:t>
            </w:r>
          </w:p>
        </w:tc>
        <w:tc>
          <w:tcPr>
            <w:tcW w:w="5287" w:type="dxa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/>
                <w:sz w:val="22"/>
                <w:szCs w:val="22"/>
              </w:rPr>
              <w:t>Determination of Nitrite Endocrine Disruptor in Food with DIY Spectrophotometer</w:t>
            </w:r>
          </w:p>
        </w:tc>
      </w:tr>
      <w:tr w:rsidR="00F83C47" w:rsidRPr="00153A48" w:rsidTr="00436599">
        <w:trPr>
          <w:trHeight w:val="284"/>
        </w:trPr>
        <w:tc>
          <w:tcPr>
            <w:tcW w:w="9540" w:type="dxa"/>
            <w:gridSpan w:val="5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hint="eastAsia"/>
                <w:color w:val="0000FF"/>
                <w:sz w:val="22"/>
                <w:szCs w:val="22"/>
              </w:rPr>
              <w:t>Tea Break</w:t>
            </w:r>
          </w:p>
        </w:tc>
      </w:tr>
      <w:tr w:rsidR="00F83C47" w:rsidRPr="00153A48" w:rsidTr="00153A48">
        <w:trPr>
          <w:trHeight w:val="602"/>
        </w:trPr>
        <w:tc>
          <w:tcPr>
            <w:tcW w:w="1590" w:type="dxa"/>
            <w:gridSpan w:val="3"/>
            <w:vAlign w:val="center"/>
          </w:tcPr>
          <w:p w:rsidR="00F83C47" w:rsidRPr="00153A48" w:rsidRDefault="00F83C47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16:00~16:20</w:t>
            </w:r>
          </w:p>
        </w:tc>
        <w:tc>
          <w:tcPr>
            <w:tcW w:w="2663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Chia-Liang Yen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Toxicity Assessment of Phthalates Using Zebrafish Embryos and Daphnia Magna</w:t>
            </w:r>
          </w:p>
        </w:tc>
      </w:tr>
      <w:tr w:rsidR="00F83C47" w:rsidRPr="00153A48" w:rsidTr="00153A48">
        <w:trPr>
          <w:trHeight w:val="602"/>
        </w:trPr>
        <w:tc>
          <w:tcPr>
            <w:tcW w:w="1590" w:type="dxa"/>
            <w:gridSpan w:val="3"/>
            <w:vAlign w:val="center"/>
          </w:tcPr>
          <w:p w:rsidR="00F83C47" w:rsidRPr="00153A48" w:rsidRDefault="00F83C47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16:20~16:40</w:t>
            </w:r>
          </w:p>
        </w:tc>
        <w:tc>
          <w:tcPr>
            <w:tcW w:w="2663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JC Gwo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Causes of the Skewed Sex Ratio in the Critically Endangered Formosa Landlocked Salmon (Oncorhynchus formosanus)</w:t>
            </w:r>
          </w:p>
        </w:tc>
      </w:tr>
      <w:tr w:rsidR="00F83C47" w:rsidRPr="00153A48" w:rsidTr="00153A48">
        <w:trPr>
          <w:trHeight w:val="602"/>
        </w:trPr>
        <w:tc>
          <w:tcPr>
            <w:tcW w:w="1590" w:type="dxa"/>
            <w:gridSpan w:val="3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16:40~17:00</w:t>
            </w:r>
          </w:p>
        </w:tc>
        <w:tc>
          <w:tcPr>
            <w:tcW w:w="2663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Cho-Hsun Sung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Rapid Determination of Bisphenol A in Thermal Papers by TOF-SIMS</w:t>
            </w:r>
          </w:p>
        </w:tc>
      </w:tr>
      <w:tr w:rsidR="00F83C47" w:rsidRPr="00153A48" w:rsidTr="00153A48">
        <w:trPr>
          <w:trHeight w:val="602"/>
        </w:trPr>
        <w:tc>
          <w:tcPr>
            <w:tcW w:w="1590" w:type="dxa"/>
            <w:gridSpan w:val="3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17:00~17:20</w:t>
            </w:r>
          </w:p>
        </w:tc>
        <w:tc>
          <w:tcPr>
            <w:tcW w:w="2663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Yueh-Jung Yen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The Molecular Basis of Transthyretin-Related Familiar Amyloid Polyneuropathy (TTR-FAP)</w:t>
            </w:r>
          </w:p>
        </w:tc>
      </w:tr>
      <w:tr w:rsidR="00F83C47" w:rsidRPr="00153A48" w:rsidTr="00153A48">
        <w:trPr>
          <w:trHeight w:val="602"/>
        </w:trPr>
        <w:tc>
          <w:tcPr>
            <w:tcW w:w="1590" w:type="dxa"/>
            <w:gridSpan w:val="3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17:20~17:40</w:t>
            </w:r>
          </w:p>
        </w:tc>
        <w:tc>
          <w:tcPr>
            <w:tcW w:w="2663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Jing-O Cheng</w:t>
            </w:r>
          </w:p>
        </w:tc>
        <w:tc>
          <w:tcPr>
            <w:tcW w:w="5287" w:type="dxa"/>
          </w:tcPr>
          <w:p w:rsidR="00F83C47" w:rsidRPr="00153A48" w:rsidRDefault="00F83C47" w:rsidP="004A5416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 xml:space="preserve">Distribution and </w:t>
            </w:r>
            <w:r w:rsidR="004A5416">
              <w:rPr>
                <w:sz w:val="22"/>
                <w:szCs w:val="22"/>
              </w:rPr>
              <w:t>R</w:t>
            </w:r>
            <w:r w:rsidRPr="00153A48">
              <w:rPr>
                <w:sz w:val="22"/>
                <w:szCs w:val="22"/>
              </w:rPr>
              <w:t xml:space="preserve">isk </w:t>
            </w:r>
            <w:r w:rsidR="004A5416">
              <w:rPr>
                <w:sz w:val="22"/>
                <w:szCs w:val="22"/>
              </w:rPr>
              <w:t>A</w:t>
            </w:r>
            <w:r w:rsidRPr="00153A48">
              <w:rPr>
                <w:sz w:val="22"/>
                <w:szCs w:val="22"/>
              </w:rPr>
              <w:t xml:space="preserve">ssessment of </w:t>
            </w:r>
            <w:r w:rsidR="004A5416">
              <w:rPr>
                <w:sz w:val="22"/>
                <w:szCs w:val="22"/>
              </w:rPr>
              <w:t>P</w:t>
            </w:r>
            <w:r w:rsidRPr="00153A48">
              <w:rPr>
                <w:sz w:val="22"/>
                <w:szCs w:val="22"/>
              </w:rPr>
              <w:t xml:space="preserve">olycyclic </w:t>
            </w:r>
            <w:r w:rsidR="004A5416">
              <w:rPr>
                <w:sz w:val="22"/>
                <w:szCs w:val="22"/>
              </w:rPr>
              <w:t>A</w:t>
            </w:r>
            <w:r w:rsidRPr="00153A48">
              <w:rPr>
                <w:sz w:val="22"/>
                <w:szCs w:val="22"/>
              </w:rPr>
              <w:t xml:space="preserve">romatic </w:t>
            </w:r>
            <w:r w:rsidR="004A5416">
              <w:rPr>
                <w:sz w:val="22"/>
                <w:szCs w:val="22"/>
              </w:rPr>
              <w:t>H</w:t>
            </w:r>
            <w:r w:rsidRPr="00153A48">
              <w:rPr>
                <w:sz w:val="22"/>
                <w:szCs w:val="22"/>
              </w:rPr>
              <w:t xml:space="preserve">ydrocarbons in the </w:t>
            </w:r>
            <w:r w:rsidR="004A5416">
              <w:rPr>
                <w:sz w:val="22"/>
                <w:szCs w:val="22"/>
              </w:rPr>
              <w:t>S</w:t>
            </w:r>
            <w:r w:rsidRPr="00153A48">
              <w:rPr>
                <w:sz w:val="22"/>
                <w:szCs w:val="22"/>
              </w:rPr>
              <w:t xml:space="preserve">urface </w:t>
            </w:r>
            <w:r w:rsidR="004A5416">
              <w:rPr>
                <w:sz w:val="22"/>
                <w:szCs w:val="22"/>
              </w:rPr>
              <w:t>S</w:t>
            </w:r>
            <w:r w:rsidRPr="00153A48">
              <w:rPr>
                <w:sz w:val="22"/>
                <w:szCs w:val="22"/>
              </w:rPr>
              <w:t>ediment from Danshui River, Taiwan</w:t>
            </w:r>
          </w:p>
        </w:tc>
      </w:tr>
    </w:tbl>
    <w:p w:rsidR="00153A48" w:rsidRDefault="00153A48" w:rsidP="000220B7">
      <w:pPr>
        <w:spacing w:line="240" w:lineRule="atLeast"/>
        <w:rPr>
          <w:b/>
          <w:color w:val="0000FF"/>
          <w:sz w:val="22"/>
          <w:szCs w:val="22"/>
          <w:lang w:val="fr-FR"/>
        </w:rPr>
      </w:pPr>
    </w:p>
    <w:p w:rsidR="00BA1817" w:rsidRPr="00437498" w:rsidRDefault="00BA1817" w:rsidP="000220B7">
      <w:pPr>
        <w:spacing w:line="240" w:lineRule="atLeast"/>
        <w:rPr>
          <w:color w:val="0000FF"/>
          <w:sz w:val="22"/>
          <w:szCs w:val="22"/>
          <w:lang w:val="fr-FR"/>
        </w:rPr>
      </w:pPr>
      <w:r w:rsidRPr="00437498">
        <w:rPr>
          <w:rFonts w:hint="eastAsia"/>
          <w:color w:val="0000FF"/>
          <w:sz w:val="22"/>
          <w:szCs w:val="22"/>
          <w:lang w:val="fr-FR"/>
        </w:rPr>
        <w:t>Day 5 (Friday, June 17)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691"/>
        <w:gridCol w:w="5287"/>
      </w:tblGrid>
      <w:tr w:rsidR="00F83C47" w:rsidRPr="00153A48" w:rsidTr="00F83C47">
        <w:tc>
          <w:tcPr>
            <w:tcW w:w="1562" w:type="dxa"/>
            <w:tcBorders>
              <w:top w:val="single" w:sz="12" w:space="0" w:color="auto"/>
            </w:tcBorders>
            <w:shd w:val="clear" w:color="auto" w:fill="D9D9D9"/>
          </w:tcPr>
          <w:p w:rsidR="00F83C47" w:rsidRPr="00153A48" w:rsidRDefault="00F83C47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691" w:type="dxa"/>
            <w:tcBorders>
              <w:top w:val="single" w:sz="12" w:space="0" w:color="auto"/>
            </w:tcBorders>
            <w:shd w:val="clear" w:color="auto" w:fill="D9D9D9"/>
          </w:tcPr>
          <w:p w:rsidR="00F83C47" w:rsidRPr="00153A48" w:rsidRDefault="00F83C47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Speaker 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shd w:val="clear" w:color="auto" w:fill="D9D9D9"/>
          </w:tcPr>
          <w:p w:rsidR="00F83C47" w:rsidRPr="00153A48" w:rsidRDefault="00F83C47" w:rsidP="00A65C51">
            <w:pPr>
              <w:snapToGrid w:val="0"/>
              <w:rPr>
                <w:b/>
                <w:sz w:val="22"/>
                <w:szCs w:val="22"/>
              </w:rPr>
            </w:pPr>
            <w:r w:rsidRPr="00153A48">
              <w:rPr>
                <w:b/>
                <w:sz w:val="22"/>
                <w:szCs w:val="22"/>
              </w:rPr>
              <w:t xml:space="preserve">Title </w:t>
            </w:r>
          </w:p>
        </w:tc>
      </w:tr>
      <w:tr w:rsidR="00F83C47" w:rsidRPr="00153A48" w:rsidTr="00011809">
        <w:trPr>
          <w:trHeight w:val="712"/>
        </w:trPr>
        <w:tc>
          <w:tcPr>
            <w:tcW w:w="9540" w:type="dxa"/>
            <w:gridSpan w:val="3"/>
            <w:vAlign w:val="center"/>
          </w:tcPr>
          <w:p w:rsidR="00153A48" w:rsidRPr="00153A48" w:rsidRDefault="00F83C47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color w:val="0000FF"/>
                <w:sz w:val="22"/>
                <w:szCs w:val="22"/>
              </w:rPr>
              <w:t>Food Safety and Environmental Toxicology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="00A65C51">
              <w:rPr>
                <w:color w:val="0000FF"/>
                <w:sz w:val="22"/>
                <w:szCs w:val="22"/>
              </w:rPr>
              <w:t>(</w:t>
            </w:r>
            <w:r w:rsidR="00A65C51" w:rsidRPr="00A65C51">
              <w:rPr>
                <w:color w:val="0000FF"/>
                <w:sz w:val="22"/>
                <w:szCs w:val="22"/>
              </w:rPr>
              <w:t>organized by Toxicology Society of Taiwan</w:t>
            </w:r>
            <w:r w:rsidR="00A65C51">
              <w:rPr>
                <w:color w:val="0000FF"/>
                <w:sz w:val="22"/>
                <w:szCs w:val="22"/>
              </w:rPr>
              <w:t>)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 </w:t>
            </w:r>
          </w:p>
          <w:p w:rsidR="00F83C47" w:rsidRPr="00153A48" w:rsidRDefault="00F83C47" w:rsidP="00A65C51">
            <w:pPr>
              <w:snapToGrid w:val="0"/>
              <w:rPr>
                <w:color w:val="0000FF"/>
                <w:sz w:val="22"/>
                <w:szCs w:val="22"/>
              </w:rPr>
            </w:pP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Chair: </w:t>
            </w:r>
            <w:r w:rsidRPr="00153A48">
              <w:rPr>
                <w:color w:val="0000FF"/>
                <w:sz w:val="22"/>
                <w:szCs w:val="22"/>
              </w:rPr>
              <w:t>Jaw-Jou Kang</w:t>
            </w:r>
            <w:r w:rsidRPr="00153A48">
              <w:rPr>
                <w:rFonts w:hint="eastAsia"/>
                <w:color w:val="0000FF"/>
                <w:sz w:val="22"/>
                <w:szCs w:val="22"/>
              </w:rPr>
              <w:t xml:space="preserve"> &amp;</w:t>
            </w:r>
            <w:r w:rsidRPr="00153A48">
              <w:rPr>
                <w:color w:val="0000FF"/>
                <w:sz w:val="22"/>
                <w:szCs w:val="22"/>
              </w:rPr>
              <w:t xml:space="preserve"> Chih-Kang Chiang</w:t>
            </w:r>
          </w:p>
        </w:tc>
      </w:tr>
      <w:tr w:rsidR="00F83C47" w:rsidRPr="00153A48" w:rsidTr="00A65C51">
        <w:trPr>
          <w:trHeight w:val="884"/>
        </w:trPr>
        <w:tc>
          <w:tcPr>
            <w:tcW w:w="1562" w:type="dxa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09:00~09:20</w:t>
            </w:r>
          </w:p>
        </w:tc>
        <w:tc>
          <w:tcPr>
            <w:tcW w:w="2691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Ying-Jan Wang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Endoplasmic Reticulum Stress-Triggered Autophagy and Lysosomal Dysfunction Contribute to the Cytotoxicity of Amine-modified Silver Nanoparticles in NIH 3T3 Cells</w:t>
            </w:r>
          </w:p>
        </w:tc>
      </w:tr>
      <w:tr w:rsidR="00F83C47" w:rsidRPr="00153A48" w:rsidTr="00A65C51">
        <w:trPr>
          <w:trHeight w:val="569"/>
        </w:trPr>
        <w:tc>
          <w:tcPr>
            <w:tcW w:w="1562" w:type="dxa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09:20~09:40</w:t>
            </w:r>
          </w:p>
        </w:tc>
        <w:tc>
          <w:tcPr>
            <w:tcW w:w="2691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Pinpin Lin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Quantification of Unsaturated Aldehydes in Cooking Oils Using Liquid Chromatography-Mass Spectrometry</w:t>
            </w:r>
          </w:p>
        </w:tc>
      </w:tr>
      <w:tr w:rsidR="00F83C47" w:rsidRPr="00153A48" w:rsidTr="00A65C51">
        <w:trPr>
          <w:trHeight w:val="535"/>
        </w:trPr>
        <w:tc>
          <w:tcPr>
            <w:tcW w:w="1562" w:type="dxa"/>
            <w:vAlign w:val="center"/>
          </w:tcPr>
          <w:p w:rsidR="00F83C47" w:rsidRPr="00153A48" w:rsidRDefault="00F83C47" w:rsidP="00A65C51">
            <w:pPr>
              <w:snapToGrid w:val="0"/>
              <w:rPr>
                <w:rFonts w:eastAsiaTheme="minorEastAsia"/>
                <w:sz w:val="22"/>
                <w:szCs w:val="22"/>
              </w:rPr>
            </w:pPr>
            <w:r w:rsidRPr="00153A48">
              <w:rPr>
                <w:rFonts w:eastAsiaTheme="minorEastAsia" w:hint="eastAsia"/>
                <w:sz w:val="22"/>
                <w:szCs w:val="22"/>
              </w:rPr>
              <w:t>09:40~10:00</w:t>
            </w:r>
          </w:p>
        </w:tc>
        <w:tc>
          <w:tcPr>
            <w:tcW w:w="2691" w:type="dxa"/>
            <w:vAlign w:val="center"/>
          </w:tcPr>
          <w:p w:rsidR="00F83C47" w:rsidRPr="00153A48" w:rsidRDefault="00F83C47" w:rsidP="00A65C51">
            <w:pPr>
              <w:snapToGrid w:val="0"/>
              <w:jc w:val="both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Ming-Wei Chao</w:t>
            </w:r>
          </w:p>
        </w:tc>
        <w:tc>
          <w:tcPr>
            <w:tcW w:w="5287" w:type="dxa"/>
          </w:tcPr>
          <w:p w:rsidR="00F83C47" w:rsidRPr="00153A48" w:rsidRDefault="00F83C47" w:rsidP="00A65C51">
            <w:pPr>
              <w:snapToGrid w:val="0"/>
              <w:rPr>
                <w:sz w:val="22"/>
                <w:szCs w:val="22"/>
              </w:rPr>
            </w:pPr>
            <w:r w:rsidRPr="00153A48">
              <w:rPr>
                <w:sz w:val="22"/>
                <w:szCs w:val="22"/>
              </w:rPr>
              <w:t>The Impact of PM2.5 Particle in Cardiovascular System And Its Potential Prevention</w:t>
            </w:r>
          </w:p>
        </w:tc>
      </w:tr>
    </w:tbl>
    <w:p w:rsidR="000220B7" w:rsidRPr="00F83C47" w:rsidRDefault="000220B7" w:rsidP="000220B7">
      <w:pPr>
        <w:spacing w:line="240" w:lineRule="atLeast"/>
        <w:rPr>
          <w:b/>
          <w:color w:val="0000FF"/>
        </w:rPr>
      </w:pPr>
    </w:p>
    <w:sectPr w:rsidR="000220B7" w:rsidRPr="00F83C47" w:rsidSect="00B54EF5">
      <w:pgSz w:w="11906" w:h="16838"/>
      <w:pgMar w:top="68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45" w:rsidRDefault="003E7045" w:rsidP="00D1481C">
      <w:r>
        <w:separator/>
      </w:r>
    </w:p>
  </w:endnote>
  <w:endnote w:type="continuationSeparator" w:id="0">
    <w:p w:rsidR="003E7045" w:rsidRDefault="003E7045" w:rsidP="00D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45" w:rsidRDefault="003E7045" w:rsidP="00D1481C">
      <w:r>
        <w:separator/>
      </w:r>
    </w:p>
  </w:footnote>
  <w:footnote w:type="continuationSeparator" w:id="0">
    <w:p w:rsidR="003E7045" w:rsidRDefault="003E7045" w:rsidP="00D1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B7"/>
    <w:rsid w:val="00011809"/>
    <w:rsid w:val="000220B7"/>
    <w:rsid w:val="000E0ED0"/>
    <w:rsid w:val="00153A48"/>
    <w:rsid w:val="0017228E"/>
    <w:rsid w:val="00182F4B"/>
    <w:rsid w:val="00196B87"/>
    <w:rsid w:val="001E7219"/>
    <w:rsid w:val="002A6C95"/>
    <w:rsid w:val="002D40F9"/>
    <w:rsid w:val="002E4154"/>
    <w:rsid w:val="0031172E"/>
    <w:rsid w:val="003346B9"/>
    <w:rsid w:val="003366DC"/>
    <w:rsid w:val="003E3066"/>
    <w:rsid w:val="003E7045"/>
    <w:rsid w:val="00423F84"/>
    <w:rsid w:val="00436599"/>
    <w:rsid w:val="00437498"/>
    <w:rsid w:val="004574FD"/>
    <w:rsid w:val="0046254C"/>
    <w:rsid w:val="004A5416"/>
    <w:rsid w:val="004B3EAB"/>
    <w:rsid w:val="00592572"/>
    <w:rsid w:val="005C1E68"/>
    <w:rsid w:val="0066006B"/>
    <w:rsid w:val="00681F85"/>
    <w:rsid w:val="007B4581"/>
    <w:rsid w:val="007D4662"/>
    <w:rsid w:val="007E4F26"/>
    <w:rsid w:val="007E75A4"/>
    <w:rsid w:val="008B3DAC"/>
    <w:rsid w:val="008F30D5"/>
    <w:rsid w:val="00980D4F"/>
    <w:rsid w:val="009869EB"/>
    <w:rsid w:val="009C7005"/>
    <w:rsid w:val="00A65C51"/>
    <w:rsid w:val="00A760A3"/>
    <w:rsid w:val="00B15190"/>
    <w:rsid w:val="00B54EF5"/>
    <w:rsid w:val="00BA1267"/>
    <w:rsid w:val="00BA1817"/>
    <w:rsid w:val="00CD2EB5"/>
    <w:rsid w:val="00D1481C"/>
    <w:rsid w:val="00D2252F"/>
    <w:rsid w:val="00D35331"/>
    <w:rsid w:val="00E42288"/>
    <w:rsid w:val="00F37934"/>
    <w:rsid w:val="00F55F4B"/>
    <w:rsid w:val="00F56246"/>
    <w:rsid w:val="00F83C47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E041"/>
  <w15:docId w15:val="{27E2F117-BC8F-478A-9955-108F03B6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220B7"/>
    <w:pPr>
      <w:widowControl w:val="0"/>
      <w:jc w:val="both"/>
    </w:pPr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D14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8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81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E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647</Words>
  <Characters>3691</Characters>
  <Application>Microsoft Office Word</Application>
  <DocSecurity>0</DocSecurity>
  <Lines>30</Lines>
  <Paragraphs>8</Paragraphs>
  <ScaleCrop>false</ScaleCrop>
  <Company>IBMS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</dc:creator>
  <cp:keywords/>
  <dc:description/>
  <cp:lastModifiedBy>USERX</cp:lastModifiedBy>
  <cp:revision>28</cp:revision>
  <dcterms:created xsi:type="dcterms:W3CDTF">2016-05-13T09:36:00Z</dcterms:created>
  <dcterms:modified xsi:type="dcterms:W3CDTF">2016-05-24T09:03:00Z</dcterms:modified>
</cp:coreProperties>
</file>